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6F" w:rsidRPr="0087106F" w:rsidRDefault="0087106F" w:rsidP="0087106F">
      <w:pPr>
        <w:widowControl/>
        <w:jc w:val="center"/>
        <w:rPr>
          <w:rFonts w:ascii="黑体" w:eastAsia="黑体" w:hAnsi="黑体" w:cs="宋体"/>
          <w:b/>
          <w:bCs/>
          <w:color w:val="000000"/>
          <w:kern w:val="0"/>
          <w:sz w:val="28"/>
          <w:szCs w:val="28"/>
        </w:rPr>
      </w:pPr>
      <w:r w:rsidRPr="0087106F">
        <w:rPr>
          <w:rFonts w:ascii="黑体" w:eastAsia="黑体" w:hAnsi="黑体" w:cs="宋体" w:hint="eastAsia"/>
          <w:b/>
          <w:bCs/>
          <w:color w:val="000000"/>
          <w:kern w:val="0"/>
          <w:sz w:val="28"/>
          <w:szCs w:val="28"/>
        </w:rPr>
        <w:t>公共管理学院</w:t>
      </w:r>
    </w:p>
    <w:p w:rsidR="0087106F" w:rsidRPr="0087106F" w:rsidRDefault="0087106F" w:rsidP="0087106F">
      <w:pPr>
        <w:widowControl/>
        <w:jc w:val="center"/>
        <w:rPr>
          <w:rFonts w:ascii="黑体" w:eastAsia="黑体" w:hAnsi="黑体" w:cs="宋体"/>
          <w:b/>
          <w:bCs/>
          <w:color w:val="000000"/>
          <w:kern w:val="0"/>
          <w:sz w:val="28"/>
          <w:szCs w:val="28"/>
        </w:rPr>
      </w:pPr>
      <w:r w:rsidRPr="0087106F">
        <w:rPr>
          <w:rFonts w:ascii="黑体" w:eastAsia="黑体" w:hAnsi="黑体" w:cs="宋体" w:hint="eastAsia"/>
          <w:b/>
          <w:bCs/>
          <w:color w:val="000000"/>
          <w:kern w:val="0"/>
          <w:sz w:val="28"/>
          <w:szCs w:val="28"/>
        </w:rPr>
        <w:t>2015级攻读公共管理硕士</w:t>
      </w:r>
      <w:r>
        <w:rPr>
          <w:rFonts w:ascii="黑体" w:eastAsia="黑体" w:hAnsi="黑体" w:cs="宋体" w:hint="eastAsia"/>
          <w:b/>
          <w:bCs/>
          <w:color w:val="000000"/>
          <w:kern w:val="0"/>
          <w:sz w:val="28"/>
          <w:szCs w:val="28"/>
        </w:rPr>
        <w:t>(在职)</w:t>
      </w:r>
      <w:r w:rsidRPr="0087106F">
        <w:rPr>
          <w:rFonts w:ascii="黑体" w:eastAsia="黑体" w:hAnsi="黑体" w:cs="宋体" w:hint="eastAsia"/>
          <w:b/>
          <w:bCs/>
          <w:color w:val="000000"/>
          <w:kern w:val="0"/>
          <w:sz w:val="28"/>
          <w:szCs w:val="28"/>
        </w:rPr>
        <w:t>专业学位研究生培养方案</w:t>
      </w:r>
    </w:p>
    <w:p w:rsidR="0087106F" w:rsidRPr="0087106F" w:rsidRDefault="0087106F" w:rsidP="0087106F">
      <w:pPr>
        <w:widowControl/>
        <w:spacing w:after="240"/>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一、适用专业学位</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公共管理硕士</w:t>
      </w:r>
      <w:r>
        <w:rPr>
          <w:rFonts w:ascii="Arial,宋体" w:eastAsia="Arial,宋体" w:hAnsi="宋体" w:cs="宋体" w:hint="eastAsia"/>
          <w:color w:val="000000"/>
          <w:kern w:val="0"/>
          <w:sz w:val="24"/>
          <w:szCs w:val="24"/>
        </w:rPr>
        <w:t>（在职</w:t>
      </w:r>
      <w:r>
        <w:rPr>
          <w:rFonts w:ascii="Arial,宋体" w:eastAsia="Arial,宋体" w:hAnsi="宋体" w:cs="宋体"/>
          <w:color w:val="000000"/>
          <w:kern w:val="0"/>
          <w:sz w:val="24"/>
          <w:szCs w:val="24"/>
        </w:rPr>
        <w:t>）</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二、培养目标与培养方式</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三、学科专业研究方向</w:t>
      </w:r>
    </w:p>
    <w:p w:rsidR="0087106F" w:rsidRPr="0087106F" w:rsidRDefault="0087106F" w:rsidP="0087106F">
      <w:pPr>
        <w:widowControl/>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政府治理与领导</w:t>
      </w:r>
      <w:r w:rsidRPr="0087106F">
        <w:rPr>
          <w:rFonts w:ascii="Arial,宋体" w:eastAsia="Arial,宋体" w:hAnsi="宋体" w:cs="宋体" w:hint="eastAsia"/>
          <w:color w:val="000000"/>
          <w:kern w:val="0"/>
          <w:sz w:val="24"/>
          <w:szCs w:val="24"/>
        </w:rPr>
        <w:br/>
        <w:t>公共安全与应急管理</w:t>
      </w:r>
      <w:r w:rsidRPr="0087106F">
        <w:rPr>
          <w:rFonts w:ascii="Arial,宋体" w:eastAsia="Arial,宋体" w:hAnsi="宋体" w:cs="宋体" w:hint="eastAsia"/>
          <w:color w:val="000000"/>
          <w:kern w:val="0"/>
          <w:sz w:val="24"/>
          <w:szCs w:val="24"/>
        </w:rPr>
        <w:br/>
        <w:t>公共政策</w:t>
      </w:r>
      <w:r w:rsidRPr="0087106F">
        <w:rPr>
          <w:rFonts w:ascii="Arial,宋体" w:eastAsia="Arial,宋体" w:hAnsi="宋体" w:cs="宋体" w:hint="eastAsia"/>
          <w:color w:val="000000"/>
          <w:kern w:val="0"/>
          <w:sz w:val="24"/>
          <w:szCs w:val="24"/>
        </w:rPr>
        <w:br/>
        <w:t>管理科学与决策分析</w:t>
      </w:r>
      <w:r w:rsidRPr="0087106F">
        <w:rPr>
          <w:rFonts w:ascii="Arial,宋体" w:eastAsia="Arial,宋体" w:hAnsi="宋体" w:cs="宋体" w:hint="eastAsia"/>
          <w:color w:val="000000"/>
          <w:kern w:val="0"/>
          <w:sz w:val="24"/>
          <w:szCs w:val="24"/>
        </w:rPr>
        <w:br/>
        <w:t>城市建设与管理</w:t>
      </w:r>
      <w:r w:rsidRPr="0087106F">
        <w:rPr>
          <w:rFonts w:ascii="Arial,宋体" w:eastAsia="Arial,宋体" w:hAnsi="宋体" w:cs="宋体" w:hint="eastAsia"/>
          <w:color w:val="000000"/>
          <w:kern w:val="0"/>
          <w:sz w:val="24"/>
          <w:szCs w:val="24"/>
        </w:rPr>
        <w:br/>
        <w:t>区域发展与城市管理</w:t>
      </w:r>
      <w:r w:rsidRPr="0087106F">
        <w:rPr>
          <w:rFonts w:ascii="Arial,宋体" w:eastAsia="Arial,宋体" w:hAnsi="宋体" w:cs="宋体" w:hint="eastAsia"/>
          <w:color w:val="000000"/>
          <w:kern w:val="0"/>
          <w:sz w:val="24"/>
          <w:szCs w:val="24"/>
        </w:rPr>
        <w:br/>
        <w:t>土地利用与城乡发展</w:t>
      </w:r>
      <w:r w:rsidRPr="0087106F">
        <w:rPr>
          <w:rFonts w:ascii="Arial,宋体" w:eastAsia="Arial,宋体" w:hAnsi="宋体" w:cs="宋体" w:hint="eastAsia"/>
          <w:color w:val="000000"/>
          <w:kern w:val="0"/>
          <w:sz w:val="24"/>
          <w:szCs w:val="24"/>
        </w:rPr>
        <w:br/>
        <w:t>教育政策与管理</w:t>
      </w:r>
      <w:r w:rsidRPr="0087106F">
        <w:rPr>
          <w:rFonts w:ascii="Arial,宋体" w:eastAsia="Arial,宋体" w:hAnsi="宋体" w:cs="宋体" w:hint="eastAsia"/>
          <w:color w:val="000000"/>
          <w:kern w:val="0"/>
          <w:sz w:val="24"/>
          <w:szCs w:val="24"/>
        </w:rPr>
        <w:br/>
        <w:t>财政与税收管理</w:t>
      </w:r>
      <w:r w:rsidRPr="0087106F">
        <w:rPr>
          <w:rFonts w:ascii="Arial,宋体" w:eastAsia="Arial,宋体" w:hAnsi="宋体" w:cs="宋体" w:hint="eastAsia"/>
          <w:color w:val="000000"/>
          <w:kern w:val="0"/>
          <w:sz w:val="24"/>
          <w:szCs w:val="24"/>
        </w:rPr>
        <w:br/>
        <w:t>卫生政策与管理</w:t>
      </w:r>
      <w:r w:rsidRPr="0087106F">
        <w:rPr>
          <w:rFonts w:ascii="Arial,宋体" w:eastAsia="Arial,宋体" w:hAnsi="宋体" w:cs="宋体" w:hint="eastAsia"/>
          <w:color w:val="000000"/>
          <w:kern w:val="0"/>
          <w:sz w:val="24"/>
          <w:szCs w:val="24"/>
        </w:rPr>
        <w:br/>
        <w:t>社会保障</w:t>
      </w:r>
      <w:r w:rsidRPr="0087106F">
        <w:rPr>
          <w:rFonts w:ascii="Arial,宋体" w:eastAsia="Arial,宋体" w:hAnsi="宋体" w:cs="宋体" w:hint="eastAsia"/>
          <w:color w:val="000000"/>
          <w:kern w:val="0"/>
          <w:sz w:val="24"/>
          <w:szCs w:val="24"/>
        </w:rPr>
        <w:br/>
        <w:t>组织与人力资源管理</w:t>
      </w:r>
      <w:r w:rsidRPr="0087106F">
        <w:rPr>
          <w:rFonts w:ascii="Arial,宋体" w:eastAsia="Arial,宋体" w:hAnsi="宋体" w:cs="宋体" w:hint="eastAsia"/>
          <w:color w:val="000000"/>
          <w:kern w:val="0"/>
          <w:sz w:val="24"/>
          <w:szCs w:val="24"/>
        </w:rPr>
        <w:br/>
        <w:t>非营利组织管理</w:t>
      </w:r>
      <w:r w:rsidRPr="0087106F">
        <w:rPr>
          <w:rFonts w:ascii="Arial,宋体" w:eastAsia="Arial,宋体" w:hAnsi="宋体" w:cs="宋体" w:hint="eastAsia"/>
          <w:color w:val="000000"/>
          <w:kern w:val="0"/>
          <w:sz w:val="24"/>
          <w:szCs w:val="24"/>
        </w:rPr>
        <w:br/>
        <w:t>电子政务</w:t>
      </w:r>
      <w:r w:rsidRPr="0087106F">
        <w:rPr>
          <w:rFonts w:ascii="Arial,宋体" w:eastAsia="Arial,宋体" w:hAnsi="宋体" w:cs="宋体" w:hint="eastAsia"/>
          <w:color w:val="000000"/>
          <w:kern w:val="0"/>
          <w:sz w:val="24"/>
          <w:szCs w:val="24"/>
        </w:rPr>
        <w:br/>
        <w:t>文化产业经营管理</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四、学习年限</w:t>
      </w:r>
    </w:p>
    <w:p w:rsidR="0087106F" w:rsidRDefault="00865677" w:rsidP="00BC76AA">
      <w:pPr>
        <w:widowControl/>
        <w:ind w:firstLineChars="200" w:firstLine="480"/>
        <w:jc w:val="left"/>
        <w:rPr>
          <w:rFonts w:ascii="Arial,宋体" w:eastAsia="Arial,宋体" w:hAnsi="宋体" w:cs="宋体"/>
          <w:color w:val="000000"/>
          <w:kern w:val="0"/>
          <w:sz w:val="24"/>
          <w:szCs w:val="24"/>
        </w:rPr>
      </w:pPr>
      <w:r w:rsidRPr="00865677">
        <w:rPr>
          <w:rFonts w:ascii="Arial,宋体" w:eastAsia="Arial,宋体" w:hAnsi="宋体" w:cs="宋体" w:hint="eastAsia"/>
          <w:color w:val="000000"/>
          <w:kern w:val="0"/>
          <w:sz w:val="24"/>
          <w:szCs w:val="24"/>
        </w:rPr>
        <w:t>基本学习年限2至4年，其中脱产学习2年，非脱产学习不低于2.5年。</w:t>
      </w:r>
    </w:p>
    <w:p w:rsidR="00865677" w:rsidRPr="0087106F" w:rsidRDefault="00865677" w:rsidP="0087106F">
      <w:pPr>
        <w:widowControl/>
        <w:jc w:val="left"/>
        <w:rPr>
          <w:rFonts w:ascii="Arial,宋体" w:eastAsia="Arial,宋体" w:hAnsi="宋体" w:cs="宋体" w:hint="eastAsia"/>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五、课程设置和学分要求（见附表）</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攻读硕士学位研究生期间，需要获得学位课程总学分不少于38学分。</w:t>
      </w:r>
      <w:r w:rsidR="00A03866" w:rsidRPr="0087106F">
        <w:rPr>
          <w:rFonts w:ascii="Arial,宋体" w:eastAsia="Arial,宋体" w:hAnsi="宋体" w:cs="宋体" w:hint="eastAsia"/>
          <w:color w:val="000000"/>
          <w:kern w:val="0"/>
          <w:sz w:val="24"/>
          <w:szCs w:val="24"/>
        </w:rPr>
        <w:t>核心课不少于19学分，</w:t>
      </w:r>
      <w:r w:rsidRPr="0087106F">
        <w:rPr>
          <w:rFonts w:ascii="Arial,宋体" w:eastAsia="Arial,宋体" w:hAnsi="宋体" w:cs="宋体" w:hint="eastAsia"/>
          <w:color w:val="000000"/>
          <w:kern w:val="0"/>
          <w:sz w:val="24"/>
          <w:szCs w:val="24"/>
        </w:rPr>
        <w:t>专业课不少于8学分，</w:t>
      </w:r>
      <w:r w:rsidR="00A03866" w:rsidRPr="0087106F">
        <w:rPr>
          <w:rFonts w:ascii="Arial,宋体" w:eastAsia="Arial,宋体" w:hAnsi="宋体" w:cs="宋体" w:hint="eastAsia"/>
          <w:color w:val="000000"/>
          <w:kern w:val="0"/>
          <w:sz w:val="24"/>
          <w:szCs w:val="24"/>
        </w:rPr>
        <w:t>选修课不少于9学分，</w:t>
      </w:r>
      <w:r w:rsidRPr="0087106F">
        <w:rPr>
          <w:rFonts w:ascii="Arial,宋体" w:eastAsia="Arial,宋体" w:hAnsi="宋体" w:cs="宋体" w:hint="eastAsia"/>
          <w:color w:val="000000"/>
          <w:kern w:val="0"/>
          <w:sz w:val="24"/>
          <w:szCs w:val="24"/>
        </w:rPr>
        <w:t>社会实践不少于2学分，具体课程及学分要求见“方案课程及学分要求”。</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六、社会实践</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社会实践时间为三个月。社会实践应该在教师的指导下进行，社会实践结束后，学生须提交不少于3000字的社会实践报告。“非脱产”学习的学生可以在本单位完成社会实践。</w:t>
      </w:r>
    </w:p>
    <w:p w:rsidR="0087106F" w:rsidRPr="0087106F" w:rsidRDefault="0087106F" w:rsidP="0087106F">
      <w:pPr>
        <w:widowControl/>
        <w:jc w:val="left"/>
        <w:rPr>
          <w:rFonts w:ascii="Arial,宋体" w:eastAsia="Arial,宋体" w:hAnsi="宋体" w:cs="宋体"/>
          <w:color w:val="000000"/>
          <w:kern w:val="0"/>
          <w:sz w:val="24"/>
          <w:szCs w:val="24"/>
        </w:rPr>
      </w:pPr>
    </w:p>
    <w:p w:rsidR="0087106F" w:rsidRPr="0087106F" w:rsidRDefault="0087106F" w:rsidP="0087106F">
      <w:pPr>
        <w:widowControl/>
        <w:jc w:val="left"/>
        <w:rPr>
          <w:rFonts w:ascii="黑体" w:eastAsia="黑体" w:hAnsi="黑体" w:cs="宋体"/>
          <w:b/>
          <w:bCs/>
          <w:color w:val="000000"/>
          <w:kern w:val="0"/>
          <w:sz w:val="24"/>
          <w:szCs w:val="24"/>
        </w:rPr>
      </w:pPr>
      <w:r w:rsidRPr="0087106F">
        <w:rPr>
          <w:rFonts w:ascii="黑体" w:eastAsia="黑体" w:hAnsi="黑体" w:cs="宋体" w:hint="eastAsia"/>
          <w:b/>
          <w:bCs/>
          <w:color w:val="000000"/>
          <w:kern w:val="0"/>
          <w:sz w:val="24"/>
          <w:szCs w:val="24"/>
        </w:rPr>
        <w:t>七、论文撰写</w:t>
      </w:r>
    </w:p>
    <w:p w:rsidR="0087106F" w:rsidRPr="0087106F" w:rsidRDefault="0087106F" w:rsidP="0087106F">
      <w:pPr>
        <w:widowControl/>
        <w:spacing w:line="300" w:lineRule="atLeast"/>
        <w:ind w:firstLine="480"/>
        <w:jc w:val="left"/>
        <w:rPr>
          <w:rFonts w:ascii="Arial,宋体" w:eastAsia="Arial,宋体" w:hAnsi="宋体" w:cs="宋体"/>
          <w:color w:val="000000"/>
          <w:kern w:val="0"/>
          <w:sz w:val="24"/>
          <w:szCs w:val="24"/>
        </w:rPr>
      </w:pPr>
      <w:r w:rsidRPr="0087106F">
        <w:rPr>
          <w:rFonts w:ascii="Arial,宋体" w:eastAsia="Arial,宋体" w:hAnsi="宋体" w:cs="宋体" w:hint="eastAsia"/>
          <w:color w:val="000000"/>
          <w:kern w:val="0"/>
          <w:sz w:val="24"/>
          <w:szCs w:val="24"/>
        </w:rPr>
        <w:t>按全国公共管理硕士（MPA）教育指导委员会和学校研究生院关于学位论文的要求，论文类型以应用型和案例综合分析型为主，字数为2万字以上。</w:t>
      </w:r>
    </w:p>
    <w:p w:rsidR="0087106F" w:rsidRPr="0087106F" w:rsidRDefault="0087106F" w:rsidP="0087106F">
      <w:pPr>
        <w:widowControl/>
        <w:spacing w:after="240"/>
        <w:jc w:val="left"/>
        <w:rPr>
          <w:rFonts w:ascii="Arial,宋体" w:eastAsia="Arial,宋体" w:hAnsi="宋体" w:cs="宋体"/>
          <w:color w:val="000000"/>
          <w:kern w:val="0"/>
          <w:sz w:val="24"/>
          <w:szCs w:val="24"/>
        </w:rPr>
      </w:pPr>
    </w:p>
    <w:p w:rsidR="0087106F" w:rsidRPr="0087106F" w:rsidRDefault="0087106F" w:rsidP="0087106F">
      <w:pPr>
        <w:widowControl/>
        <w:jc w:val="left"/>
        <w:rPr>
          <w:rFonts w:ascii="Arial,宋体" w:eastAsia="Arial,宋体" w:hAnsi="宋体" w:cs="宋体"/>
          <w:b/>
          <w:bCs/>
          <w:color w:val="000000"/>
          <w:kern w:val="0"/>
          <w:sz w:val="24"/>
          <w:szCs w:val="24"/>
        </w:rPr>
      </w:pPr>
      <w:r w:rsidRPr="0087106F">
        <w:rPr>
          <w:rFonts w:ascii="Arial,宋体" w:eastAsia="Arial,宋体" w:hAnsi="宋体" w:cs="宋体" w:hint="eastAsia"/>
          <w:b/>
          <w:bCs/>
          <w:color w:val="000000"/>
          <w:kern w:val="0"/>
          <w:sz w:val="24"/>
          <w:szCs w:val="24"/>
        </w:rPr>
        <w:lastRenderedPageBreak/>
        <w:t>附：课程设置和学生课程学习的学分要求</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6650"/>
        <w:gridCol w:w="1032"/>
        <w:gridCol w:w="1485"/>
        <w:gridCol w:w="1039"/>
      </w:tblGrid>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1、核心课（不少于</w:t>
            </w:r>
            <w:r>
              <w:rPr>
                <w:rFonts w:ascii="宋体" w:eastAsia="宋体" w:hAnsi="宋体" w:cs="宋体" w:hint="eastAsia"/>
                <w:b/>
                <w:bCs/>
                <w:color w:val="000000"/>
                <w:kern w:val="0"/>
                <w:sz w:val="24"/>
                <w:szCs w:val="24"/>
              </w:rPr>
              <w:t>1</w:t>
            </w:r>
            <w:r w:rsidRPr="0087106F">
              <w:rPr>
                <w:rFonts w:ascii="宋体" w:eastAsia="宋体" w:hAnsi="宋体" w:cs="宋体"/>
                <w:b/>
                <w:bCs/>
                <w:color w:val="000000"/>
                <w:kern w:val="0"/>
                <w:sz w:val="24"/>
                <w:szCs w:val="24"/>
              </w:rPr>
              <w:t>9学分）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社会主义建设理论与实践</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ZBAC001</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Theory and Practice of Socialist Construction)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(通过系列讲座对我国社会主义建设中一系列重要的理论和实践问题进行介绍，使学生了解我国社会主义建设的实践情况)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外语</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ZBAC002</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(Foreign Language)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(本课程遵循为政府部门和非政府公共机构培养高层次、应用型管理专门人才的宗旨，将英语语言基础知识教学与公共管理专业知识教学有机结合起来，着重培养MPA学生们在实际工作中应用英语的能力。)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公共管理学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ZBAC003</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Management)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(使学生了解公共管理的基本概念、基本知识；理解公共管理本身的内在规律，提高公共管理的技能，增强作为公共管理者的社会责任感，从而培养具有公共管理理论素养和专业知识、能力的公共管理者。)</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公共政策分析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ZBAC004</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Policy Analysis)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(讲授公共政策的基本理论和方法，掌握运用相关理论和方法，分析实际政策问题。)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ZBAC005</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(Management)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(掌握管理学基本概念和基本理论，了解管理学的研究范围、研究目的，管理的历史和现状，与管理和管理者相关的基本概念、基本理论，了解管理的四大职能。)</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政治学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ZBAC006</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(Political Science)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(介绍政治学的基础概念、核心问题和基本理论，围绕政治发展和政府改革这一主题进行互动式教学，提高分析政治问题的能力。)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经济学</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ZBAC007</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(Economics)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(使MPA研究生深刻地认识微观经济和宏观经济运行的规律，准确地理解个人、企业等各种经济主体进行经济决策的基本原则和方法，更好地理解国家各种经济政策的理论依据)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公共财政</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ZBAC008</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Finance)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(主要讲授公共财政的职能、公共支出管理、税收管理、债务管理、政府间关系和公共财政政策的相关理论和实践。)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宪法与行政法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ZBAC009</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(Constitution and Administrative Law)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(掌握依宪治国、依法行政基本知识、基本理论，提升宪法意识和依法行政的能力。)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公共伦理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ZBAC010</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Ethics)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(了解公共管理道德建构的基本原理，理解伦理道德在公共管理过程中的价值，以便确立起伦理思维，从而在社会治理实践中自觉运用伦理思维去处理复杂的社会问题。)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社会科学研究方法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ZBAC011</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(Social Research Methods)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帮助学生培养以科学的方法认识、分析和解决社会问题的能力，掌握并熟练应用社会科学研究中常用的研究设计与研究方法，为学生撰写规范、优秀的实证研究论文以及毕业后从事公共管理实证研究奠定坚实的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公文写作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ZBAC012</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(Theory and Practice of Official Document Writing)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(培养、提高学生公文写作的实际技能，强化分析问题、解决问题、通过公文实现工作意图的能力，掌握现代高级行政管理人才必备的基本功。)</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研究设计与数据分析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ZBAC013</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(Study Design and Data Analysis)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(让学生能够熟练掌握主要研究方法的基础知识，达到能够独立地使用定性或定量研究方法进行社会研究的水平。)</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演讲、沟通与谈判</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ZBAC014</w:t>
            </w: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(Presentation, Communication and negotiation: Principles and Practice) </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(主要讲述公共管理中的演讲、沟通和谈判，尤其涉及冲突情景中的沟通、谈判的基本理论和形式、技巧，以加深学生对公共组织之冲突管理的理解，掌握以沟通和谈判的形式化解冲突的技能技巧。)</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2、专业课（不少于8学分）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政府治理的新典范（政府治理与领导）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(Paradigm of Governance(Good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(介绍公共管理的前沿理论与先进的治理模式，把握行政改革的趋势，了解政府管理的规律，便于科学的管理和未来的善治。)</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创建高绩效的公共组织（政府治理与领导）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(Promoting Performance: Public Organization Management(Good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并理解公共组织的特征及其运行方式，明细影响或促成公共组织改革的因素，分析器变革路径，使学员把握公共组织为提升绩效而变革、发展的路线与策略，为其管理或领导公共组织，回应复杂的管理问题提供理论、知识与实践经验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决策与领导力（政府治理与领导）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Making and Leadership(Good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(使学员掌握和了解领导艺术的核心理念与艺术，增强其对变革的驾驭能力，成功地率领组织适应外部环境的变化，取得令人称赞的绩效。)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现实世界的政策分析（政府治理与领导）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(Analysis of Public Policy in the world(Good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(介绍公共政策分析的主流框架和范式，运用相关的理论和工具分析显示世界的典型政策，培养学生的政策问题意识，把握公共政策发展趋势，提高政策分析能力。)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危机管理与危机公关（政府治理与领导）</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(Emergency Management and Public Relationships(Good Governance and Lead))</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(掌握危机管理的形势与趋势，把握危机的多重来源，能够应用风险管理的理论和技巧，掌握公众应对的原则和群体事件的处置要点，掌握媒体应对和舆情识别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组织与人力资源管理（公共安全与应急管理）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(Organization and Human Resource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(帮助研究生理解公共组织中的人力资源管理，包括职位分析与职位评价、绩效管理、薪酬与福利等问题，并且结合我国改革实践，分析上述领域存在的问题、难点及改革走向。)</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应急管理基础（公共安全与应急管理）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(Emergency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(结合国内外突发事件应对的案例，使学员们掌握应急管理的基本理论、基础知识和基本技能。)</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危机公关（公共安全与应急管理）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(Crisis Public Relationship（Public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(应用典型案例和最新案例，引入研讨、案例教学、情景模拟等手段，掌握媒体应对和舆情识别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能源安全（公共安全与应急管理）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(Energy Security（Public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(系统了解世界及中国能源安全的基本状况，以及世界各主要国家和地区为保障能源安全所采取的政策与战略，充分认识能源安全的重要性，并高度关注能源安全方面的热点问题。)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社区管理（公共安全与应急管理）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(Community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(通过对社区管理核心概念、基本理论以及社区管理的实践的介绍与研究，使学生掌握社区管理的基本知识，了解国内外社区改革发展的趋势。)</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信息安全管理（公共安全与应急管理）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(Information Security Management（Public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(主要讲述信息社会中出现的各类信息安全问题，包括：1）信息安全问题的产生机理、危害性、防护原理和管理方法等；2）国家信息安全问题；3）公共信息安全问题；4）信息安全社会化保障体系等。)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国际环境与国家安全（公共安全与应急管理）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(International Situation and National Security（Public Safety and Emergency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(了解国家安全环境的基本理论，培养运用相关理论、方法分析国家安全状况的能力。了解国际环境与国家安全的关系，同时对传统安全和非传统安全领域的安全问题的基本现状有清晰的认知。)</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制度分析与公共政策（公共政策）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(Institutional Analysis and Public Policy(Public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w:t>
            </w:r>
            <w:proofErr w:type="spellStart"/>
            <w:r w:rsidRPr="0087106F">
              <w:rPr>
                <w:rFonts w:ascii="宋体" w:eastAsia="宋体" w:hAnsi="宋体" w:cs="宋体"/>
                <w:color w:val="000000"/>
                <w:kern w:val="0"/>
                <w:sz w:val="24"/>
                <w:szCs w:val="24"/>
              </w:rPr>
              <w:t>iapp</w:t>
            </w:r>
            <w:proofErr w:type="spellEnd"/>
            <w:r w:rsidRPr="0087106F">
              <w:rPr>
                <w:rFonts w:ascii="宋体" w:eastAsia="宋体" w:hAnsi="宋体" w:cs="宋体"/>
                <w:color w:val="000000"/>
                <w:kern w:val="0"/>
                <w:sz w:val="24"/>
                <w:szCs w:val="24"/>
              </w:rPr>
              <w:t>的分析框架以及理论工具，并用案例分析，来检验该理论分析框架和相关分析工具。)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政策分析方法与实务操作（公共政策）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(Practical Guide of Policy Analysis(Public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(初步掌握政策分析的相关理论与方法，从而增进学生对公共政策相关问题和现象的理解，并为学生进一步学习实践提供足够的基础知识储备。)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政策分析经典案例（公共政策）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(Classics of Policy Analysis Cases(Public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(分析公共政策领域若干经典案例，例如官员财产公示、网络监督、组织化腐败、党的巡视制度、高调问责低调复出等)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当前热点问题政策分析（公共政策）</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(Policy Analysis of Current Hot Topics(Public Policy))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(综合运用政策分析的理论和方法，着眼更好地理解问题的性质，其中包含的逻辑、价值，分析判断发展趋势，并从政策角度来分析解决的可能性以及可能的方法。)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管理科学前沿（管理科学与决策分析)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Advanced Method of Management Science(Management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(帮助学生树立经济意识，现代管理意识，使学生在今后的工作中学会从管理的角度来思考问题、解决问题，实现管理与技术的完美结合。)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公共决策（管理科学与决策分析)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Decision-making(Management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(分析公共部门为完成某种目标所做的行为设计和抉择过程，提高学生的决策能力。)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proofErr w:type="spellStart"/>
            <w:r w:rsidRPr="0087106F">
              <w:rPr>
                <w:rFonts w:ascii="宋体" w:eastAsia="宋体" w:hAnsi="宋体" w:cs="宋体"/>
                <w:b/>
                <w:bCs/>
                <w:color w:val="000000"/>
                <w:kern w:val="0"/>
                <w:sz w:val="24"/>
                <w:szCs w:val="24"/>
              </w:rPr>
              <w:t>Eviews</w:t>
            </w:r>
            <w:proofErr w:type="spellEnd"/>
            <w:r w:rsidRPr="0087106F">
              <w:rPr>
                <w:rFonts w:ascii="宋体" w:eastAsia="宋体" w:hAnsi="宋体" w:cs="宋体"/>
                <w:b/>
                <w:bCs/>
                <w:color w:val="000000"/>
                <w:kern w:val="0"/>
                <w:sz w:val="24"/>
                <w:szCs w:val="24"/>
              </w:rPr>
              <w:t>应用（管理科学与决策分析)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 xml:space="preserve">(Introduction to </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(本课程结合统计分析方法，重点介绍</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软件包的一些基本功能，同时给出运用</w:t>
            </w:r>
            <w:proofErr w:type="spellStart"/>
            <w:r w:rsidRPr="0087106F">
              <w:rPr>
                <w:rFonts w:ascii="宋体" w:eastAsia="宋体" w:hAnsi="宋体" w:cs="宋体"/>
                <w:color w:val="000000"/>
                <w:kern w:val="0"/>
                <w:sz w:val="24"/>
                <w:szCs w:val="24"/>
              </w:rPr>
              <w:t>EViews</w:t>
            </w:r>
            <w:proofErr w:type="spellEnd"/>
            <w:r w:rsidRPr="0087106F">
              <w:rPr>
                <w:rFonts w:ascii="宋体" w:eastAsia="宋体" w:hAnsi="宋体" w:cs="宋体"/>
                <w:color w:val="000000"/>
                <w:kern w:val="0"/>
                <w:sz w:val="24"/>
                <w:szCs w:val="24"/>
              </w:rPr>
              <w:t>对模型进行估计与预测的经济实例。)</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决策理论（管理科学与决策分析)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(Introduction to Policy/Decision-making(Management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(介绍有关决策过程、准则、类型及方法，用于提高学生解决实际管理决策的问题。)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管理科学研究方法（管理科学与决策分析)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(Research Methods of Management Science(Management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(对学生进行科学研究专门训练，帮助学生掌握管理科学研究中规范的研究设计与方法。)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数据分析与方法（管理科学与决策分析)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(Data Analysis Methods(Management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(介绍社会科学研究的研究方法的主要知识，包括基础的方法论常识、研究设计和执行过程中所需要学到的各种方法、对结果的分析方法和学术文章的写作等内容。)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博弈案例集锦（管理科学与决策分析)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(Game Case Collection(Management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(本课程主要介绍博弈论的相关经典案例，例如囚徒困境，</w:t>
            </w:r>
            <w:proofErr w:type="gramStart"/>
            <w:r w:rsidRPr="0087106F">
              <w:rPr>
                <w:rFonts w:ascii="宋体" w:eastAsia="宋体" w:hAnsi="宋体" w:cs="宋体"/>
                <w:color w:val="000000"/>
                <w:kern w:val="0"/>
                <w:sz w:val="24"/>
                <w:szCs w:val="24"/>
              </w:rPr>
              <w:t>智猪博弈</w:t>
            </w:r>
            <w:proofErr w:type="gramEnd"/>
            <w:r w:rsidRPr="0087106F">
              <w:rPr>
                <w:rFonts w:ascii="宋体" w:eastAsia="宋体" w:hAnsi="宋体" w:cs="宋体"/>
                <w:color w:val="000000"/>
                <w:kern w:val="0"/>
                <w:sz w:val="24"/>
                <w:szCs w:val="24"/>
              </w:rPr>
              <w:t>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决策案例分析（管理科学与决策分析)</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Case Analysis(Management Science and Decision Analysis))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(本课程结合公共决策的经典案例，讲授公共管理中的决策问题。)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区域与城市发展的经济学分析（区域发展与城市管理）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(Economic Analysis on Urban and Regional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变革时代的城市治理（区域发展与城市管理）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(City Governance in Changing Time(Regional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(本课程从公共管理学视角，讲解城市管理和公共服务供给的理论与方法，在讲解城市和城市化基本理论的基础上，围绕城市管理体制、城市政策分析进行互动式教学。)</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区域与城市发展战略规划（区域发展与城市管理）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(Regional and Urban Strategic Planning(Regional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运用经济学、地理学、规划学和社会学等相关学科的基础知识，结合充足的经典案例，系统讲授区域与城市发展的内在机制、定位、产业发展分析、空间发展分析、文脉分析与形象定位、开发区与新城发展研究、创新型区域发展机制与规划等的理论和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区域与城市发展热点问题分析（区域发展与城市管理）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(Analysis on the Critical Issues in Regional and Urban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邀请区域与城市发展领域的校内外相关专家，以讲座的形式，给学生介绍当前区域与城市发展的热点问题。让学生及时了解最新的发展动态，产生问题的原因以及解决的思路，启发学生对今后发展趋势的关注与思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城市规划与公共政策（区域发展与城市管理）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 Planning and Public Policy(Regional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学习从公共政策的概念、本质、基本特征入手，通过学习公共政策问题的构建、制定、分析、执行、评价过程，对中国城市规划诞生和发展历程的政策分析以及国外现代城市规划的诞生、政策性传统和发展趋势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城市发展的社会学分析（区域发展与城市管理）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(Sociological Study on Urban Development(Regional Development and Urban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结合城市社会学的理论视角、主要流派与最新发展，对中国城市化过程中的城市环境、人口与社会结构、社会行为、社会心理与文化等领域的重大问题及变迁进行社会学分析，并就城市社会规划与管理实践问题进行讨论。)</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土地制度与政策（土地利用与城乡发展）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(Land System and Policy(Land-use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(本课程概要讲述中国不同时期的土地制度和各国（地区）的土地制度，重点讲述中国现代土地制度与政策体系。掌握研究分析土地制度与政策的基本理论和方法，进而对现行的土地制度与政策进行深入分析。)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住房制度与政策（土地利用与城乡发展）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(Housing System and Policy(Land-use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(以住房开发经营活动全过程为主线，介绍和评价住房</w:t>
            </w:r>
            <w:proofErr w:type="gramStart"/>
            <w:r w:rsidRPr="0087106F">
              <w:rPr>
                <w:rFonts w:ascii="宋体" w:eastAsia="宋体" w:hAnsi="宋体" w:cs="宋体"/>
                <w:color w:val="000000"/>
                <w:kern w:val="0"/>
                <w:sz w:val="24"/>
                <w:szCs w:val="24"/>
              </w:rPr>
              <w:t>相产法律</w:t>
            </w:r>
            <w:proofErr w:type="gramEnd"/>
            <w:r w:rsidRPr="0087106F">
              <w:rPr>
                <w:rFonts w:ascii="宋体" w:eastAsia="宋体" w:hAnsi="宋体" w:cs="宋体"/>
                <w:color w:val="000000"/>
                <w:kern w:val="0"/>
                <w:sz w:val="24"/>
                <w:szCs w:val="24"/>
              </w:rPr>
              <w:t>体系、建设用地制度与政策、国有土地上房屋征收与补偿法律制度、房地产开发建设、房地产交易管理、保障性住房相关规定以及国外的做法等内容。)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不动产经济与市场（土地利用与城乡发展）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Economics and Market(Land-use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(讨论不动产经济理论与市场分析实务)</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不动产金融与信贷（土地利用与城乡发展）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Finance and Mortgage(Land-use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(讨论不动产金融和信贷理论、实践与方法)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不动产价格与投资（土地利用与城乡发展）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Price and Investment (Land-use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(讨论不动产价格确定与投资分析)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不动产开发与经营（土地利用与城乡发展）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(Real Estate Development and Management(Land-use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(讨论不动产开发与再开发理论与实践。)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土地利用与空间整治（土地利用与城乡发展）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(Land Use and Consideration(Land-use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(讨论土地开发、整治、产权、城镇化、农村发展)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城乡规划与发展战略（土地利用与城乡发展）</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Planning and Development Strategy(Land-use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(讨论城市发展理论、城市发展规划方法体系以及实际应用)</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教育政策与法律（教育政策与管理）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Policy and Law(Educational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(介绍和分析中外教育政策与法律的基本内容和基础理论。通过分析经典的教育政策文本和案例，紧跟学术研究前沿，培养学生的批判性思维能力，提高其理解 、分析与研究教育政策的能力。充分掌握中国教育改革的具体实践。)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教育经济与社会（教育政策与管理）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Economics and Society(Educational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主要目的和意义是使学生理解教育与经济、社会的关系，充分理解教育的经济社会功能，并从经济学和社会学的视角来分析教育组织和教育管理。主要内容为教育的经济功能、社会功能、教育组织的经济分析、教育组织的社会分析、教育产业的经济学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教育组织与管理（教育政策与管理）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Organization and Administration(Educational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(本课程引导研究生梳理和掌握教育管理学的基础理论，完善研究生本领域的知识结构，培养研究生对中外教育管理理论的批判和创新意识，提升研究生的思维品质和研究能力。)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教育历史与文化（教育政策与管理）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(Educational History and Culture(Educational Policy and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(通过阅读相关教育文献， 帮助学生了解教育与文化，社会之间的关系，以及一些基本的教育理念与框架，同时引导学生思考教育相关问题，并形成自己的观点。)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税收制度与国际税收（财政与税收管理）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(Tax System &amp; International Tax(Public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(本课程以财政学等前期课程为基础，主要讲授中国税收制度概况和国际经济交往中的涉税问题，包括我国的税种、税制、各国税收管辖权的行使、国际重复征税的产生及国际反避税等。)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宏观经济政策（财政与税收管理）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(Macroeconomic Policy Analysis(Public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目的是训练研究生对宏观经济形势进行分析的能力和理解国家宏观经济政策变化的能力。通过本课程的学习，将使研究生们更好地掌握宏观经济分析方法，更好地认识当前国内外宏观经济的主要问题，更好地理解宏观经济和公共财政的关系。)</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公共预算管理（财政与税收管理）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Budget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(通过公共预算的准备、公共预算的执行、预算管理的技术和信息支持以及公共预算管理改革等方面知识的系统介绍，可以使学生对公共预算的理论和管理知识有一个全面的了解。)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公共支出管理（财政与税收管理）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Expenditure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(本课程着重讲授财政支出的规模管理、结构管理。)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公共债务管理（财政与税收管理）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Debt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(通过公共债务管理的理论、公共债务管理的程序和方法、政府债务规模与结构、地方政府债务管理等方面知识的系统介绍，可以使学生对公共债务的理论和管理知识有一个全面的了解。)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税收管理（财政与税收管理）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(Tax Management(Public Finance and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(本课程采取专题形式，讲授包括税收理论与实践概况、税收制度设计与管理、税收征管改革与创新、反避税管理等几大主要内容，使学生对当前税收政策与管理领域的重要问题有深入地认识与理解。)</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财税管理理论与实践前沿（财政与税收管理）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(Theoretical &amp; Practical Frontiers of Public Finance &amp; Taxation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(本课程以专题讲座的形式，选择当前财税政策与管理的热点与重点问题，通过应用经典理论或前沿理论，对现实问题进行深入剖析。)</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中国卫生医疗体制改革（卫生政策与管理）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System Reform in China(Health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运用经济学、管理学等理论，结合我国医疗卫生体制改革中存在的问题，探讨医疗卫生体制改革的路径、方式和方法，具有较强的理论和实际意义。通过本课程学习也可以加深对我国事业单位改革、公共政策制定以及公共物品供给等方面的理解和认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卫生经济学（卫生政策与管理）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Economics(Health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(课程将主要介绍卫生服务过程中的经济活动和经济关系，卫生领域内经济资源的合理使用，以及卫生领域内经济规律发生作用的范围、形式和特点等内容。)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医疗保障（卫生政策与管理）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(Health Insurance System(Health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掌握医疗保障领域的基础理论，对我国城镇职工基本医疗保险、新型农村合作医疗制度的现状、成就和问题有较为清晰的认识，并在对国外典型案例的分析和讨论中，掌握医疗保障制度的研究思路与方法，学会对制度</w:t>
            </w:r>
            <w:proofErr w:type="gramStart"/>
            <w:r w:rsidRPr="0087106F">
              <w:rPr>
                <w:rFonts w:ascii="宋体" w:eastAsia="宋体" w:hAnsi="宋体" w:cs="宋体"/>
                <w:color w:val="000000"/>
                <w:kern w:val="0"/>
                <w:sz w:val="24"/>
                <w:szCs w:val="24"/>
              </w:rPr>
              <w:t>作出</w:t>
            </w:r>
            <w:proofErr w:type="gramEnd"/>
            <w:r w:rsidRPr="0087106F">
              <w:rPr>
                <w:rFonts w:ascii="宋体" w:eastAsia="宋体" w:hAnsi="宋体" w:cs="宋体"/>
                <w:color w:val="000000"/>
                <w:kern w:val="0"/>
                <w:sz w:val="24"/>
                <w:szCs w:val="24"/>
              </w:rPr>
              <w:t>评价。)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医院管理及政策系列讲座（卫生政策与管理）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(Series Symposiums on Hospital Management and Policy(Health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医院管理是卫生政策和管理研究重要的组成部分，医院管理及政策系列讲座的目的在于让学生了解国际、国内公立医院改革和管理最新发展，分为四个专题：医院法人治理结构和机制，公立医院绩效管理，公立医院人事管理，公立医院改革。)</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卫生管理前沿及案例分析（卫生政策与管理）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(Case Studies on Health Management Frontier(Health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(深入探讨卫生医疗领域前沿的热点、难点问题，引导学生运用公共管理的理论和方法跟踪分析和研究卫生政策的发展。)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社会保障理论与政策（社会保障）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Security Theory and Policy(Social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(本课程以社会保障领域相关理论、社会保障政策为核心内容，展现了社会保障在我国的新动向、新发展。)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lastRenderedPageBreak/>
              <w:t>养老保险与基金管理（社会保障）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 xml:space="preserve">(Pension </w:t>
            </w:r>
            <w:proofErr w:type="spellStart"/>
            <w:r w:rsidRPr="0087106F">
              <w:rPr>
                <w:rFonts w:ascii="宋体" w:eastAsia="宋体" w:hAnsi="宋体" w:cs="宋体"/>
                <w:color w:val="000000"/>
                <w:kern w:val="0"/>
                <w:sz w:val="24"/>
                <w:szCs w:val="24"/>
              </w:rPr>
              <w:t>Sustem</w:t>
            </w:r>
            <w:proofErr w:type="spellEnd"/>
            <w:r w:rsidRPr="0087106F">
              <w:rPr>
                <w:rFonts w:ascii="宋体" w:eastAsia="宋体" w:hAnsi="宋体" w:cs="宋体"/>
                <w:color w:val="000000"/>
                <w:kern w:val="0"/>
                <w:sz w:val="24"/>
                <w:szCs w:val="24"/>
              </w:rPr>
              <w:t xml:space="preserve"> and Fund Management(Social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(让学生掌握养老保险和基金管理的基本理论，对我国基本养老保险制度有较为清晰的认识，掌握养老保险制度的研究思路与方法，学会对制度</w:t>
            </w:r>
            <w:proofErr w:type="gramStart"/>
            <w:r w:rsidRPr="0087106F">
              <w:rPr>
                <w:rFonts w:ascii="宋体" w:eastAsia="宋体" w:hAnsi="宋体" w:cs="宋体"/>
                <w:color w:val="000000"/>
                <w:kern w:val="0"/>
                <w:sz w:val="24"/>
                <w:szCs w:val="24"/>
              </w:rPr>
              <w:t>作出</w:t>
            </w:r>
            <w:proofErr w:type="gramEnd"/>
            <w:r w:rsidRPr="0087106F">
              <w:rPr>
                <w:rFonts w:ascii="宋体" w:eastAsia="宋体" w:hAnsi="宋体" w:cs="宋体"/>
                <w:color w:val="000000"/>
                <w:kern w:val="0"/>
                <w:sz w:val="24"/>
                <w:szCs w:val="24"/>
              </w:rPr>
              <w:t>评价。)</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就业与失业保险（社会保障）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(Employment and Unemployment Insurance(Social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(本课程主要介绍失业保险的相关情况，使学生对于就业、失业有更深层次的认识。)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医疗保障（社会保障）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(Medical Insurance(Social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(主要介绍医疗保险的基础理论，使学生了解国家医疗保险政策等内容。)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社会保障前沿问题研究（社会保障）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(Leading Studies on Social Security Issues(Social Security))</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采用案例讨论教学的方式，一方面可以使学生尽可能在较短的时间里接触到社会保障领域最前沿的内容，另一方面采用案例教学的方式使学生能够积极主动的参与到教学活动中，更深刻地理解当前的公共政策和制度。)</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组织行为学（组织与人力资源管理）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(Organizational Behavior(Organization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将系统介绍现代组织行为学的基本理论及技术，并结合实际案例进行教学，通过学习使学员能够较全面、系统地掌握现代组织行为学的基本理论，并应用其知识不断提高人际交往技能，同时改善组织的有效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人力资源管理概论（组织与人力资源管理）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(Human Resource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(本课程的目的是通过系统地介绍人力资源管理的最新理论、方法与技术，让 MPA学员认识到人力资源与人力资源管理对政府机关的重要性，从观念上重视人力资源管理，并掌握相应的人力资源管理的基本理论、方法与技术，为今后在工作中开展人力资源管理工作奠定坚实的基础。)</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绩效管理（组织与人力资源管理）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(Performance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本课程的系统学习，学生将会对绩效管理与绩效考核的基本理念、框架体系、绩效模型和绩效考核的工具与方法等有系统地了解，在此基础上，能够系统地掌握绩效管理理论与方法，进而对现代人力资源管理体系的核心内容有更深刻的认识。同时，学生还将通过本课程的学习，提升个人的绩效管理能力和实际操作能力，并由此提升本部门和组织的绩效。)</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薪酬管理（组织与人力资源管理）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(Compensation Management(Organization and Human Resources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本课程的学习，学生将会系统地掌握薪酬管理的一些核心知识与技能。完成本课程学习之后，学生应当能够针对组织所处的外部经济环境、劳动力市场状况以及组织自身的战略选择、人力资源队伍特点等，设计出科学、合理、有效的薪酬体系，并能够对组织中所存在的各种薪酬问题进行研究，同时对于薪酬管理过程当中所涉及到的各种管理问题也会有一个清晰的认识，并且了解怎样才能妥善地解决这些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筹款与资助管理（非营利管理）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(Fundraising and Grant Management(Management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旨在让学生掌握非营利机构如何结合其使命与愿景，筹集资金、开发与设计资助方向及资助主题，如何筛选筹款对象和受助方，如何与资助方或资助对象建立长期合作伙伴关系，如何设计筹款方案以及管理资助项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lastRenderedPageBreak/>
              <w:t>战略管理（非营利管理）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(Strategic Management (Management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(本课程全面介绍战略管理的基本框架，包括战略管理中的内外部环境分析，企业的竞争战略，企业的业务范围，如何衔接竞争战略和公司</w:t>
            </w:r>
            <w:proofErr w:type="gramStart"/>
            <w:r w:rsidRPr="0087106F">
              <w:rPr>
                <w:rFonts w:ascii="宋体" w:eastAsia="宋体" w:hAnsi="宋体" w:cs="宋体"/>
                <w:color w:val="000000"/>
                <w:kern w:val="0"/>
                <w:sz w:val="24"/>
                <w:szCs w:val="24"/>
              </w:rPr>
              <w:t>层战略</w:t>
            </w:r>
            <w:proofErr w:type="gramEnd"/>
            <w:r w:rsidRPr="0087106F">
              <w:rPr>
                <w:rFonts w:ascii="宋体" w:eastAsia="宋体" w:hAnsi="宋体" w:cs="宋体"/>
                <w:color w:val="000000"/>
                <w:kern w:val="0"/>
                <w:sz w:val="24"/>
                <w:szCs w:val="24"/>
              </w:rPr>
              <w:t>以及实现公司</w:t>
            </w:r>
            <w:proofErr w:type="gramStart"/>
            <w:r w:rsidRPr="0087106F">
              <w:rPr>
                <w:rFonts w:ascii="宋体" w:eastAsia="宋体" w:hAnsi="宋体" w:cs="宋体"/>
                <w:color w:val="000000"/>
                <w:kern w:val="0"/>
                <w:sz w:val="24"/>
                <w:szCs w:val="24"/>
              </w:rPr>
              <w:t>层战略</w:t>
            </w:r>
            <w:proofErr w:type="gramEnd"/>
            <w:r w:rsidRPr="0087106F">
              <w:rPr>
                <w:rFonts w:ascii="宋体" w:eastAsia="宋体" w:hAnsi="宋体" w:cs="宋体"/>
                <w:color w:val="000000"/>
                <w:kern w:val="0"/>
                <w:sz w:val="24"/>
                <w:szCs w:val="24"/>
              </w:rPr>
              <w:t>的三种主要方式。)</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非营利组织伦理学（非营利管理）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Ethic of NPO(Management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(让学生了解公共管理道德建构的基本原理，理解伦理道德在公共管理过程中的价值，以便确立起伦理思维，从而在社会治理实践中自觉运用伦理思维去处理复杂的社会问题。)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领导力（非营利管理）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(Leadership Skills(Management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(本课程包括领导力和激励理论及实践经验，涉及领导者所须具备的能力和品质、对领导力的反思、如何领导并激励团队发挥最大潜能，培养领导者应该具备的思维习惯和行为方式，提升领导力。)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非营利组织前沿问题研究（非营利管理）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Study of NPO Frontier Problem(Management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(本课程以讨论会的形式，结合案例分析，探讨国内外非营利领域的典型机构、典型项目的成功经验，结合学员实际工作中遇到的问题，探讨公益基金会发展中的实务动态和最新理论。)</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志愿者与志愿服务研究（非营利管理）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(Volunteers and Research on The Volunteer Service(Management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(志愿者参与志愿服务的价值与动机 志愿服务的本质与意义 国外志愿服务的机构与制度；我国志愿服务立法情况与志愿者权益保护 志愿者组织及其管理 我国志愿服务的发展历程与未来发展展望。)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非营利组织概论（非营利管理）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(Conspectus of NPO Management (Management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系统、全面地介绍中国非营利组织的概况，包括非营利组织的环境分析、战略管理、组织结构、项目管理、人力资源管理、资金管理、知识管理等状况，使学员深度了解受助方的特性，选择合适的合作伙伴。)</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政务信息战略与规划（电子政务）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(Strategy and plans of Government information(e-government))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(本课程介绍我国电子政务的发展战略，即电子政务的发展方向、未来的发展目标选择，实现目标的途径和决策以及对政府资源进行的总体配置。)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政务流程设计与优化（电子政务）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(Design and optimization of Management workflow(e-government))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(本课程运用现代管理学思想、经济学的市场机制原理和现代化技术，把政府部门的工作流程进行根本性的、彻底的重新思考和重新设计。)</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政府知识管理（电子政务）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(Government Knowledge Management(e-government))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政府知识管理是指政府为适应新的管理和职能变化的需要，在电子政务的基础上，充分利用知识网络系统，畅通无阻地进行知识收集、组织、运用，不断地创新知识，并将新知识高效地应用于政府在各个领域的管理实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政府IT应用与管理（电子政务）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(Application and Management of Government IT(e-government))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(本课程主要介绍政府部门运用IT技术，建立一种面向决策支持，面向公众服务，以高效、公平、公开、勤政、廉洁为特征的新型政府管理和工作模式。)</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住房保障与房地产政策（住房和城乡建设）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(Housing Security and Real Estate Policy(Housing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(掌握住房保障与房地产管理的基本原理，正确分析住房保障与房地产行业发展状况，提出规范、引导行业健康发展促进社会</w:t>
            </w:r>
            <w:proofErr w:type="gramStart"/>
            <w:r w:rsidRPr="0087106F">
              <w:rPr>
                <w:rFonts w:ascii="宋体" w:eastAsia="宋体" w:hAnsi="宋体" w:cs="宋体"/>
                <w:color w:val="000000"/>
                <w:kern w:val="0"/>
                <w:sz w:val="24"/>
                <w:szCs w:val="24"/>
              </w:rPr>
              <w:t>和谐实现居</w:t>
            </w:r>
            <w:proofErr w:type="gramEnd"/>
            <w:r w:rsidRPr="0087106F">
              <w:rPr>
                <w:rFonts w:ascii="宋体" w:eastAsia="宋体" w:hAnsi="宋体" w:cs="宋体"/>
                <w:color w:val="000000"/>
                <w:kern w:val="0"/>
                <w:sz w:val="24"/>
                <w:szCs w:val="24"/>
              </w:rPr>
              <w:t>有所住目标的制度与对策建议。)</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城乡规划与管理（住房和城乡建设）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Planning and Administration(Housing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(使学生清楚认识城市发展的基本规律，掌握城乡规划与管理的基本原理，学会运用多学科知识分析城乡发展方向，优化城乡发展布局，提高城乡发展水平。)</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城乡建设（住房和城乡建设）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(Urban-rural Development(Housing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(明确基于工程建设特点的政府工程建设监管的缘由及原理，了解掌握我国现行工程建设监管的制度、内容、方式，思考研讨我国工程建设控制机制的建立完善以及工程建设监管改革方向等问题。)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城市经济学（住房和城乡建设）</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(Urban Economics(Housing and Urban-Rural Development))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课程介绍城市经济学的基本原理和方法，通过课程教学，使学生了解城市化以及城市产生、发展的基本规律，并结合中国国情介绍中国城市化、城市聚集、城市经济增长与发展、城市土地与住宅等领域的理论、实践、问题与对策。)</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文化产业管理(文化产业经营管理)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(Cultural Industry Management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(文化基础，文化经济学，文化投资学，管理学原理，信息技术与文化产业。)</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无形资产管理(文化产业经营管理)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(Intangible Assets Management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(无形资产性质，无形资产评估，无形资产管理，无形资产经营。)</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创意经济学(文化产业经营管理)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(Creative Economics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(创意经济学原理，创意城市经济型城市，创意经济型企业，创意经济型产品，创意研究与实际运作)</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中外文化产业发展前沿(文化产业经营管理)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(Frontier Issues on the Development of Cultural Industry at Home and Abroad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(中国文化产业发展态势（细分行业），欧美创意产业发展趋势，日</w:t>
            </w:r>
            <w:proofErr w:type="gramStart"/>
            <w:r w:rsidRPr="0087106F">
              <w:rPr>
                <w:rFonts w:ascii="宋体" w:eastAsia="宋体" w:hAnsi="宋体" w:cs="宋体"/>
                <w:color w:val="000000"/>
                <w:kern w:val="0"/>
                <w:sz w:val="24"/>
                <w:szCs w:val="24"/>
              </w:rPr>
              <w:t>韩动漫产业</w:t>
            </w:r>
            <w:proofErr w:type="gramEnd"/>
            <w:r w:rsidRPr="0087106F">
              <w:rPr>
                <w:rFonts w:ascii="宋体" w:eastAsia="宋体" w:hAnsi="宋体" w:cs="宋体"/>
                <w:color w:val="000000"/>
                <w:kern w:val="0"/>
                <w:sz w:val="24"/>
                <w:szCs w:val="24"/>
              </w:rPr>
              <w:t>发展。)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文化产业市场营销(文化产业经营管理)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(Cultural Industry Marketing (Cultural Industry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(文化市场特性，文化市场细分，文化市场定位，文化市场渠道管理，文化品牌资产管理)</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3、选修课（不少于9学分）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硕士论文设计与创作</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(The Design and Creation of Master Thesis)</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(本课程主要介绍硕士学位论文的基本要求及结构，以及硕士论文如何选题等。)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体育</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1学分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(PE)</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(提供羽毛球、篮球、网球、太极拳和瑜伽等多项体育课程供选择。)</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非营利组织管理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(Management of Non-Profit Organization)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w:t>
            </w:r>
            <w:proofErr w:type="gramStart"/>
            <w:r w:rsidRPr="0087106F">
              <w:rPr>
                <w:rFonts w:ascii="宋体" w:eastAsia="宋体" w:hAnsi="宋体" w:cs="宋体"/>
                <w:color w:val="000000"/>
                <w:kern w:val="0"/>
                <w:sz w:val="24"/>
                <w:szCs w:val="24"/>
              </w:rPr>
              <w:t>阐述非</w:t>
            </w:r>
            <w:proofErr w:type="gramEnd"/>
            <w:r w:rsidRPr="0087106F">
              <w:rPr>
                <w:rFonts w:ascii="宋体" w:eastAsia="宋体" w:hAnsi="宋体" w:cs="宋体"/>
                <w:color w:val="000000"/>
                <w:kern w:val="0"/>
                <w:sz w:val="24"/>
                <w:szCs w:val="24"/>
              </w:rPr>
              <w:t>营利组织管理中的若干重要问题：非营利组织的使命、战略规划、营销、公共关系、筹款策略、财务管理、人力资源管理、沟通、董事会、志愿者、竞争力等。)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公共管理热点与前沿</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(Issues and Frontier in Public Administration)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(本课程主要按照不同的主题介绍公共管理领域的一些热点和前沿问题，比如房产税、</w:t>
            </w:r>
            <w:proofErr w:type="gramStart"/>
            <w:r w:rsidRPr="0087106F">
              <w:rPr>
                <w:rFonts w:ascii="宋体" w:eastAsia="宋体" w:hAnsi="宋体" w:cs="宋体"/>
                <w:color w:val="000000"/>
                <w:kern w:val="0"/>
                <w:sz w:val="24"/>
                <w:szCs w:val="24"/>
              </w:rPr>
              <w:t>医</w:t>
            </w:r>
            <w:proofErr w:type="gramEnd"/>
            <w:r w:rsidRPr="0087106F">
              <w:rPr>
                <w:rFonts w:ascii="宋体" w:eastAsia="宋体" w:hAnsi="宋体" w:cs="宋体"/>
                <w:color w:val="000000"/>
                <w:kern w:val="0"/>
                <w:sz w:val="24"/>
                <w:szCs w:val="24"/>
              </w:rPr>
              <w:t>改等。)</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领导科学与艺术</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(Science and Art of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(通过传统和现代领导学经典模型的对比，介绍领导定位、领导力开发、领导用人、领导沟通、领导激励、领导决策、领导形象塑造、领导战略管理等方面的科学与艺术)</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中外公共管理比较</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(Comparison of Chinese and Foreign Public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(本课程对比介绍国内国外在公共管理不同领域的做法、政策、理念。)</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中国古代治国通论</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(General Theory of Ancient China Governing)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(以凝结了中国古代有关国计民生和国家治理的思想精华的《资治通鉴》中的相关内容作为主要案例，讲述中国古代国家治理方面的若干问题。)</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现代社会与政府监管</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(Modern Society and Government Regulation)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介绍在市场经济条件下政府为实现某些公共政策目标，对微观经济主体进行的规范与制约。政府通过对特定产业和微观经济活动主体的进入、退出、资质、价格及涉及国民健康、生命安全、可持续发展等行为进行监督、管理来实现。)</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公共组织行为管理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Organization Behavior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(掌握一定组织中人的心理和行为规律的基础上，提高人的行为的预测、引导和控制的能力，以便更有效地实现预期的组织目标。)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公共危机管理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(Public Crisis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(掌握危机管理的形势与趋势，把握危机的多重来源，能够应用风险管理的理论和技巧，掌握公众应对的原则和群体事件的处置要点，掌握媒体应对和舆情识别</w:t>
            </w:r>
            <w:proofErr w:type="gramStart"/>
            <w:r w:rsidRPr="0087106F">
              <w:rPr>
                <w:rFonts w:ascii="宋体" w:eastAsia="宋体" w:hAnsi="宋体" w:cs="宋体"/>
                <w:color w:val="000000"/>
                <w:kern w:val="0"/>
                <w:sz w:val="24"/>
                <w:szCs w:val="24"/>
              </w:rPr>
              <w:t>研</w:t>
            </w:r>
            <w:proofErr w:type="gramEnd"/>
            <w:r w:rsidRPr="0087106F">
              <w:rPr>
                <w:rFonts w:ascii="宋体" w:eastAsia="宋体" w:hAnsi="宋体" w:cs="宋体"/>
                <w:color w:val="000000"/>
                <w:kern w:val="0"/>
                <w:sz w:val="24"/>
                <w:szCs w:val="24"/>
              </w:rPr>
              <w:t>判的技巧。)</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社会科学经典文献导读</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Science Literature Classic Reading)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(引导学生阅读社会科学领域诸多经典著作，分享读书体会和心得。)</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战略管理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(strategy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(掌握一定组织中人的心理和行为规律的基础上，提高人的行为的预测、引导和控制的能力，以便更有效地实现预期的组织目标。)</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税务会计与税收筹划</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lastRenderedPageBreak/>
              <w:t>(Tax Accounting and Tax Planning)</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(介绍三大税种:增值税、营业税、所得税的会计处理方式以及企业在经营过程中面临的税务会计疑难问题；介绍企业税务会计的处理方式以及企业税收筹划方法。)</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环境政策与管理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(Environment Policy and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(本课程通过教授领导力的基础理论与实践，介绍领导力评估及领导力开发的基本内容。)</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艺术欣赏</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(Art Appreciation)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(以东、西方艺术史上经典的流派、作品和艺术家为线，旨在经过学习，培养学生对艺术的基础审美和鉴赏能力，一定程度提高艺术修养水准)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领导学专题</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0学期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(Special Topic of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(本课程旨在教授领导学的基础理论与实践，帮助学生充分理解管理者的角色和要求，并充分理解领导者与管理者的区别，了解领导的特质、风格和所处的环境)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决策与领导力</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(Decision Making and Leadership)</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(本课程旨在教授领导力的基础理论与实践，帮助学生充分理解管理者的角色和要求，并充分理解领导者与管理者的区别，了解领导的特质、风格和所处的环境。)</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中国绘画艺术欣赏</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(Chinese Painting Art Appreciation)</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(通过对中国绘画艺术的系统学习，使大家充分认识中国传统绘画从雏形、发展壮大直至现在的发展轨迹，重点培养学生正确的审美取向和审美情趣，同时从理论和实践上提高大家欣赏、品评艺术品的能力。)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(社会管理主要是政府和社会组织为促进社会系统协调运转，对社会系统的组成部分、社会生活的不同领域以及社会发展的各个环节进行组织、协调、指导、规范、监督和纠正社会失灵的过程。)</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国家安全管理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(National Security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本课程主要探讨国家安全管理理念与制度建设问题，分析了中国主要国家安全挑战及强化管理的手段和对策，目的是让学生能够了解我国国家安全形势，分析国家安全管理的问题，提升国家安全意识，加强管理能力。)</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团队管理能力拓展训练</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3学期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(Outward Bound of Team Management)</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激发学生的领导潜质和团队管理才能；提高学生的沟通表达能力和人际交往能力；培养学生的合作意识和团队责任感。使学生逐步形成丰富的想象力、敏锐的洞察力、清晰的判断力、深刻的思考力和准确的预见力，促进他们将来成为具有创造能力和创新意识的复合型人才。)</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4、社会实践（2学分）</w:t>
            </w:r>
          </w:p>
        </w:tc>
      </w:tr>
      <w:tr w:rsidR="0087106F" w:rsidRPr="0087106F" w:rsidTr="00A03866">
        <w:trPr>
          <w:tblCellSpacing w:w="15" w:type="dxa"/>
        </w:trPr>
        <w:tc>
          <w:tcPr>
            <w:tcW w:w="15480" w:type="dxa"/>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b/>
                <w:bCs/>
                <w:color w:val="000000"/>
                <w:kern w:val="0"/>
                <w:sz w:val="24"/>
                <w:szCs w:val="24"/>
              </w:rPr>
              <w:t>社会实践</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2学分</w:t>
            </w:r>
          </w:p>
        </w:tc>
        <w:tc>
          <w:tcPr>
            <w:tcW w:w="2190" w:type="dxa"/>
            <w:vAlign w:val="center"/>
            <w:hideMark/>
          </w:tcPr>
          <w:p w:rsidR="0087106F" w:rsidRPr="0087106F" w:rsidRDefault="0087106F" w:rsidP="0087106F">
            <w:pPr>
              <w:widowControl/>
              <w:jc w:val="left"/>
              <w:rPr>
                <w:rFonts w:ascii="宋体" w:eastAsia="宋体" w:hAnsi="宋体" w:cs="宋体"/>
                <w:color w:val="000000"/>
                <w:kern w:val="0"/>
                <w:sz w:val="24"/>
                <w:szCs w:val="24"/>
              </w:rPr>
            </w:pPr>
          </w:p>
        </w:tc>
        <w:tc>
          <w:tcPr>
            <w:tcW w:w="2175" w:type="dxa"/>
            <w:vAlign w:val="center"/>
            <w:hideMark/>
          </w:tcPr>
          <w:p w:rsidR="0087106F" w:rsidRPr="0087106F" w:rsidRDefault="0087106F" w:rsidP="0087106F">
            <w:pPr>
              <w:widowControl/>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4学期</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(Social Practice)</w:t>
            </w:r>
          </w:p>
        </w:tc>
      </w:tr>
      <w:tr w:rsidR="0087106F" w:rsidRPr="0087106F" w:rsidTr="00A03866">
        <w:trPr>
          <w:tblCellSpacing w:w="15" w:type="dxa"/>
        </w:trPr>
        <w:tc>
          <w:tcPr>
            <w:tcW w:w="0" w:type="auto"/>
            <w:gridSpan w:val="4"/>
            <w:vAlign w:val="center"/>
            <w:hideMark/>
          </w:tcPr>
          <w:p w:rsidR="0087106F" w:rsidRPr="0087106F" w:rsidRDefault="0087106F" w:rsidP="0087106F">
            <w:pPr>
              <w:widowControl/>
              <w:ind w:firstLine="480"/>
              <w:jc w:val="left"/>
              <w:rPr>
                <w:rFonts w:ascii="宋体" w:eastAsia="宋体" w:hAnsi="宋体" w:cs="宋体"/>
                <w:color w:val="000000"/>
                <w:kern w:val="0"/>
                <w:sz w:val="24"/>
                <w:szCs w:val="24"/>
              </w:rPr>
            </w:pPr>
            <w:r w:rsidRPr="0087106F">
              <w:rPr>
                <w:rFonts w:ascii="宋体" w:eastAsia="宋体" w:hAnsi="宋体" w:cs="宋体"/>
                <w:color w:val="000000"/>
                <w:kern w:val="0"/>
                <w:sz w:val="24"/>
                <w:szCs w:val="24"/>
              </w:rPr>
              <w:t>(社会实践时间为三个月。社会实践应该在教师的指导下进行，社会实践结束后，学生须提交不少于3000字的社会实践报告。“非脱产”学习的学生可以在本单位完成社会实践。)</w:t>
            </w:r>
            <w:bookmarkStart w:id="0" w:name="_GoBack"/>
            <w:bookmarkEnd w:id="0"/>
          </w:p>
        </w:tc>
      </w:tr>
    </w:tbl>
    <w:p w:rsidR="007750EE" w:rsidRPr="0087106F" w:rsidRDefault="007750EE" w:rsidP="0087106F"/>
    <w:sectPr w:rsidR="007750EE" w:rsidRPr="0087106F" w:rsidSect="0087106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F8"/>
    <w:rsid w:val="007750EE"/>
    <w:rsid w:val="00865677"/>
    <w:rsid w:val="0087106F"/>
    <w:rsid w:val="009E626F"/>
    <w:rsid w:val="00A03866"/>
    <w:rsid w:val="00AA26F8"/>
    <w:rsid w:val="00BC76AA"/>
    <w:rsid w:val="00C64000"/>
    <w:rsid w:val="00E5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784F-F398-4338-B1DF-2CD42E81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626F"/>
    <w:rPr>
      <w:b/>
      <w:bCs/>
    </w:rPr>
  </w:style>
  <w:style w:type="paragraph" w:styleId="a4">
    <w:name w:val="Balloon Text"/>
    <w:basedOn w:val="a"/>
    <w:link w:val="Char"/>
    <w:uiPriority w:val="99"/>
    <w:semiHidden/>
    <w:unhideWhenUsed/>
    <w:rsid w:val="00A03866"/>
    <w:rPr>
      <w:sz w:val="18"/>
      <w:szCs w:val="18"/>
    </w:rPr>
  </w:style>
  <w:style w:type="character" w:customStyle="1" w:styleId="Char">
    <w:name w:val="批注框文本 Char"/>
    <w:basedOn w:val="a0"/>
    <w:link w:val="a4"/>
    <w:uiPriority w:val="99"/>
    <w:semiHidden/>
    <w:rsid w:val="00A03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9756">
      <w:bodyDiv w:val="1"/>
      <w:marLeft w:val="0"/>
      <w:marRight w:val="0"/>
      <w:marTop w:val="0"/>
      <w:marBottom w:val="0"/>
      <w:divBdr>
        <w:top w:val="none" w:sz="0" w:space="0" w:color="auto"/>
        <w:left w:val="none" w:sz="0" w:space="0" w:color="auto"/>
        <w:bottom w:val="none" w:sz="0" w:space="0" w:color="auto"/>
        <w:right w:val="none" w:sz="0" w:space="0" w:color="auto"/>
      </w:divBdr>
      <w:divsChild>
        <w:div w:id="2043289204">
          <w:marLeft w:val="225"/>
          <w:marRight w:val="150"/>
          <w:marTop w:val="75"/>
          <w:marBottom w:val="150"/>
          <w:divBdr>
            <w:top w:val="none" w:sz="0" w:space="0" w:color="auto"/>
            <w:left w:val="none" w:sz="0" w:space="0" w:color="auto"/>
            <w:bottom w:val="none" w:sz="0" w:space="0" w:color="auto"/>
            <w:right w:val="none" w:sz="0" w:space="0" w:color="auto"/>
          </w:divBdr>
          <w:divsChild>
            <w:div w:id="1387794975">
              <w:marLeft w:val="0"/>
              <w:marRight w:val="0"/>
              <w:marTop w:val="0"/>
              <w:marBottom w:val="0"/>
              <w:divBdr>
                <w:top w:val="none" w:sz="0" w:space="0" w:color="auto"/>
                <w:left w:val="none" w:sz="0" w:space="0" w:color="auto"/>
                <w:bottom w:val="none" w:sz="0" w:space="0" w:color="auto"/>
                <w:right w:val="none" w:sz="0" w:space="0" w:color="auto"/>
              </w:divBdr>
            </w:div>
            <w:div w:id="812260203">
              <w:marLeft w:val="0"/>
              <w:marRight w:val="0"/>
              <w:marTop w:val="0"/>
              <w:marBottom w:val="0"/>
              <w:divBdr>
                <w:top w:val="none" w:sz="0" w:space="0" w:color="auto"/>
                <w:left w:val="none" w:sz="0" w:space="0" w:color="auto"/>
                <w:bottom w:val="none" w:sz="0" w:space="0" w:color="auto"/>
                <w:right w:val="none" w:sz="0" w:space="0" w:color="auto"/>
              </w:divBdr>
            </w:div>
            <w:div w:id="807405813">
              <w:marLeft w:val="0"/>
              <w:marRight w:val="0"/>
              <w:marTop w:val="0"/>
              <w:marBottom w:val="0"/>
              <w:divBdr>
                <w:top w:val="none" w:sz="0" w:space="0" w:color="auto"/>
                <w:left w:val="none" w:sz="0" w:space="0" w:color="auto"/>
                <w:bottom w:val="none" w:sz="0" w:space="0" w:color="auto"/>
                <w:right w:val="none" w:sz="0" w:space="0" w:color="auto"/>
              </w:divBdr>
              <w:divsChild>
                <w:div w:id="1464695604">
                  <w:marLeft w:val="0"/>
                  <w:marRight w:val="0"/>
                  <w:marTop w:val="0"/>
                  <w:marBottom w:val="0"/>
                  <w:divBdr>
                    <w:top w:val="none" w:sz="0" w:space="0" w:color="auto"/>
                    <w:left w:val="none" w:sz="0" w:space="0" w:color="auto"/>
                    <w:bottom w:val="none" w:sz="0" w:space="0" w:color="auto"/>
                    <w:right w:val="none" w:sz="0" w:space="0" w:color="auto"/>
                  </w:divBdr>
                  <w:divsChild>
                    <w:div w:id="1460567157">
                      <w:marLeft w:val="0"/>
                      <w:marRight w:val="0"/>
                      <w:marTop w:val="75"/>
                      <w:marBottom w:val="30"/>
                      <w:divBdr>
                        <w:top w:val="none" w:sz="0" w:space="0" w:color="auto"/>
                        <w:left w:val="none" w:sz="0" w:space="0" w:color="auto"/>
                        <w:bottom w:val="none" w:sz="0" w:space="0" w:color="auto"/>
                        <w:right w:val="none" w:sz="0" w:space="0" w:color="auto"/>
                      </w:divBdr>
                    </w:div>
                    <w:div w:id="1408768821">
                      <w:marLeft w:val="0"/>
                      <w:marRight w:val="0"/>
                      <w:marTop w:val="0"/>
                      <w:marBottom w:val="0"/>
                      <w:divBdr>
                        <w:top w:val="none" w:sz="0" w:space="0" w:color="auto"/>
                        <w:left w:val="none" w:sz="0" w:space="0" w:color="auto"/>
                        <w:bottom w:val="none" w:sz="0" w:space="0" w:color="auto"/>
                        <w:right w:val="none" w:sz="0" w:space="0" w:color="auto"/>
                      </w:divBdr>
                    </w:div>
                    <w:div w:id="1301500582">
                      <w:marLeft w:val="0"/>
                      <w:marRight w:val="0"/>
                      <w:marTop w:val="75"/>
                      <w:marBottom w:val="30"/>
                      <w:divBdr>
                        <w:top w:val="none" w:sz="0" w:space="0" w:color="auto"/>
                        <w:left w:val="none" w:sz="0" w:space="0" w:color="auto"/>
                        <w:bottom w:val="none" w:sz="0" w:space="0" w:color="auto"/>
                        <w:right w:val="none" w:sz="0" w:space="0" w:color="auto"/>
                      </w:divBdr>
                    </w:div>
                    <w:div w:id="1567759997">
                      <w:marLeft w:val="0"/>
                      <w:marRight w:val="0"/>
                      <w:marTop w:val="0"/>
                      <w:marBottom w:val="0"/>
                      <w:divBdr>
                        <w:top w:val="none" w:sz="0" w:space="0" w:color="auto"/>
                        <w:left w:val="none" w:sz="0" w:space="0" w:color="auto"/>
                        <w:bottom w:val="none" w:sz="0" w:space="0" w:color="auto"/>
                        <w:right w:val="none" w:sz="0" w:space="0" w:color="auto"/>
                      </w:divBdr>
                    </w:div>
                    <w:div w:id="1084494524">
                      <w:marLeft w:val="0"/>
                      <w:marRight w:val="0"/>
                      <w:marTop w:val="75"/>
                      <w:marBottom w:val="30"/>
                      <w:divBdr>
                        <w:top w:val="none" w:sz="0" w:space="0" w:color="auto"/>
                        <w:left w:val="none" w:sz="0" w:space="0" w:color="auto"/>
                        <w:bottom w:val="none" w:sz="0" w:space="0" w:color="auto"/>
                        <w:right w:val="none" w:sz="0" w:space="0" w:color="auto"/>
                      </w:divBdr>
                    </w:div>
                    <w:div w:id="913317004">
                      <w:marLeft w:val="0"/>
                      <w:marRight w:val="0"/>
                      <w:marTop w:val="0"/>
                      <w:marBottom w:val="0"/>
                      <w:divBdr>
                        <w:top w:val="none" w:sz="0" w:space="0" w:color="auto"/>
                        <w:left w:val="none" w:sz="0" w:space="0" w:color="auto"/>
                        <w:bottom w:val="none" w:sz="0" w:space="0" w:color="auto"/>
                        <w:right w:val="none" w:sz="0" w:space="0" w:color="auto"/>
                      </w:divBdr>
                    </w:div>
                    <w:div w:id="889222767">
                      <w:marLeft w:val="0"/>
                      <w:marRight w:val="0"/>
                      <w:marTop w:val="75"/>
                      <w:marBottom w:val="30"/>
                      <w:divBdr>
                        <w:top w:val="none" w:sz="0" w:space="0" w:color="auto"/>
                        <w:left w:val="none" w:sz="0" w:space="0" w:color="auto"/>
                        <w:bottom w:val="none" w:sz="0" w:space="0" w:color="auto"/>
                        <w:right w:val="none" w:sz="0" w:space="0" w:color="auto"/>
                      </w:divBdr>
                    </w:div>
                    <w:div w:id="758721615">
                      <w:marLeft w:val="0"/>
                      <w:marRight w:val="0"/>
                      <w:marTop w:val="0"/>
                      <w:marBottom w:val="0"/>
                      <w:divBdr>
                        <w:top w:val="none" w:sz="0" w:space="0" w:color="auto"/>
                        <w:left w:val="none" w:sz="0" w:space="0" w:color="auto"/>
                        <w:bottom w:val="none" w:sz="0" w:space="0" w:color="auto"/>
                        <w:right w:val="none" w:sz="0" w:space="0" w:color="auto"/>
                      </w:divBdr>
                    </w:div>
                    <w:div w:id="1754935561">
                      <w:marLeft w:val="0"/>
                      <w:marRight w:val="0"/>
                      <w:marTop w:val="75"/>
                      <w:marBottom w:val="30"/>
                      <w:divBdr>
                        <w:top w:val="none" w:sz="0" w:space="0" w:color="auto"/>
                        <w:left w:val="none" w:sz="0" w:space="0" w:color="auto"/>
                        <w:bottom w:val="none" w:sz="0" w:space="0" w:color="auto"/>
                        <w:right w:val="none" w:sz="0" w:space="0" w:color="auto"/>
                      </w:divBdr>
                    </w:div>
                    <w:div w:id="1088427134">
                      <w:marLeft w:val="0"/>
                      <w:marRight w:val="0"/>
                      <w:marTop w:val="0"/>
                      <w:marBottom w:val="0"/>
                      <w:divBdr>
                        <w:top w:val="none" w:sz="0" w:space="0" w:color="auto"/>
                        <w:left w:val="none" w:sz="0" w:space="0" w:color="auto"/>
                        <w:bottom w:val="none" w:sz="0" w:space="0" w:color="auto"/>
                        <w:right w:val="none" w:sz="0" w:space="0" w:color="auto"/>
                      </w:divBdr>
                    </w:div>
                    <w:div w:id="732778092">
                      <w:marLeft w:val="0"/>
                      <w:marRight w:val="0"/>
                      <w:marTop w:val="75"/>
                      <w:marBottom w:val="30"/>
                      <w:divBdr>
                        <w:top w:val="none" w:sz="0" w:space="0" w:color="auto"/>
                        <w:left w:val="none" w:sz="0" w:space="0" w:color="auto"/>
                        <w:bottom w:val="none" w:sz="0" w:space="0" w:color="auto"/>
                        <w:right w:val="none" w:sz="0" w:space="0" w:color="auto"/>
                      </w:divBdr>
                    </w:div>
                    <w:div w:id="540556283">
                      <w:marLeft w:val="0"/>
                      <w:marRight w:val="0"/>
                      <w:marTop w:val="0"/>
                      <w:marBottom w:val="0"/>
                      <w:divBdr>
                        <w:top w:val="none" w:sz="0" w:space="0" w:color="auto"/>
                        <w:left w:val="none" w:sz="0" w:space="0" w:color="auto"/>
                        <w:bottom w:val="none" w:sz="0" w:space="0" w:color="auto"/>
                        <w:right w:val="none" w:sz="0" w:space="0" w:color="auto"/>
                      </w:divBdr>
                    </w:div>
                    <w:div w:id="686298499">
                      <w:marLeft w:val="0"/>
                      <w:marRight w:val="0"/>
                      <w:marTop w:val="75"/>
                      <w:marBottom w:val="30"/>
                      <w:divBdr>
                        <w:top w:val="none" w:sz="0" w:space="0" w:color="auto"/>
                        <w:left w:val="none" w:sz="0" w:space="0" w:color="auto"/>
                        <w:bottom w:val="none" w:sz="0" w:space="0" w:color="auto"/>
                        <w:right w:val="none" w:sz="0" w:space="0" w:color="auto"/>
                      </w:divBdr>
                    </w:div>
                    <w:div w:id="1528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547">
              <w:marLeft w:val="0"/>
              <w:marRight w:val="0"/>
              <w:marTop w:val="0"/>
              <w:marBottom w:val="0"/>
              <w:divBdr>
                <w:top w:val="none" w:sz="0" w:space="0" w:color="auto"/>
                <w:left w:val="none" w:sz="0" w:space="0" w:color="auto"/>
                <w:bottom w:val="none" w:sz="0" w:space="0" w:color="auto"/>
                <w:right w:val="none" w:sz="0" w:space="0" w:color="auto"/>
              </w:divBdr>
              <w:divsChild>
                <w:div w:id="66783033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5363204">
          <w:marLeft w:val="0"/>
          <w:marRight w:val="0"/>
          <w:marTop w:val="0"/>
          <w:marBottom w:val="0"/>
          <w:divBdr>
            <w:top w:val="none" w:sz="0" w:space="0" w:color="auto"/>
            <w:left w:val="none" w:sz="0" w:space="0" w:color="auto"/>
            <w:bottom w:val="none" w:sz="0" w:space="0" w:color="auto"/>
            <w:right w:val="none" w:sz="0" w:space="0" w:color="auto"/>
          </w:divBdr>
        </w:div>
      </w:divsChild>
    </w:div>
    <w:div w:id="1174568585">
      <w:bodyDiv w:val="1"/>
      <w:marLeft w:val="0"/>
      <w:marRight w:val="0"/>
      <w:marTop w:val="0"/>
      <w:marBottom w:val="0"/>
      <w:divBdr>
        <w:top w:val="none" w:sz="0" w:space="0" w:color="auto"/>
        <w:left w:val="none" w:sz="0" w:space="0" w:color="auto"/>
        <w:bottom w:val="none" w:sz="0" w:space="0" w:color="auto"/>
        <w:right w:val="none" w:sz="0" w:space="0" w:color="auto"/>
      </w:divBdr>
      <w:divsChild>
        <w:div w:id="2061632004">
          <w:marLeft w:val="225"/>
          <w:marRight w:val="150"/>
          <w:marTop w:val="75"/>
          <w:marBottom w:val="150"/>
          <w:divBdr>
            <w:top w:val="none" w:sz="0" w:space="0" w:color="auto"/>
            <w:left w:val="none" w:sz="0" w:space="0" w:color="auto"/>
            <w:bottom w:val="none" w:sz="0" w:space="0" w:color="auto"/>
            <w:right w:val="none" w:sz="0" w:space="0" w:color="auto"/>
          </w:divBdr>
          <w:divsChild>
            <w:div w:id="1886334462">
              <w:marLeft w:val="0"/>
              <w:marRight w:val="0"/>
              <w:marTop w:val="0"/>
              <w:marBottom w:val="0"/>
              <w:divBdr>
                <w:top w:val="none" w:sz="0" w:space="0" w:color="auto"/>
                <w:left w:val="none" w:sz="0" w:space="0" w:color="auto"/>
                <w:bottom w:val="none" w:sz="0" w:space="0" w:color="auto"/>
                <w:right w:val="none" w:sz="0" w:space="0" w:color="auto"/>
              </w:divBdr>
            </w:div>
            <w:div w:id="276376885">
              <w:marLeft w:val="0"/>
              <w:marRight w:val="0"/>
              <w:marTop w:val="0"/>
              <w:marBottom w:val="0"/>
              <w:divBdr>
                <w:top w:val="none" w:sz="0" w:space="0" w:color="auto"/>
                <w:left w:val="none" w:sz="0" w:space="0" w:color="auto"/>
                <w:bottom w:val="none" w:sz="0" w:space="0" w:color="auto"/>
                <w:right w:val="none" w:sz="0" w:space="0" w:color="auto"/>
              </w:divBdr>
            </w:div>
            <w:div w:id="394012536">
              <w:marLeft w:val="0"/>
              <w:marRight w:val="0"/>
              <w:marTop w:val="0"/>
              <w:marBottom w:val="0"/>
              <w:divBdr>
                <w:top w:val="none" w:sz="0" w:space="0" w:color="auto"/>
                <w:left w:val="none" w:sz="0" w:space="0" w:color="auto"/>
                <w:bottom w:val="none" w:sz="0" w:space="0" w:color="auto"/>
                <w:right w:val="none" w:sz="0" w:space="0" w:color="auto"/>
              </w:divBdr>
              <w:divsChild>
                <w:div w:id="1137381428">
                  <w:marLeft w:val="0"/>
                  <w:marRight w:val="0"/>
                  <w:marTop w:val="0"/>
                  <w:marBottom w:val="0"/>
                  <w:divBdr>
                    <w:top w:val="none" w:sz="0" w:space="0" w:color="auto"/>
                    <w:left w:val="none" w:sz="0" w:space="0" w:color="auto"/>
                    <w:bottom w:val="none" w:sz="0" w:space="0" w:color="auto"/>
                    <w:right w:val="none" w:sz="0" w:space="0" w:color="auto"/>
                  </w:divBdr>
                  <w:divsChild>
                    <w:div w:id="1582913407">
                      <w:marLeft w:val="0"/>
                      <w:marRight w:val="0"/>
                      <w:marTop w:val="75"/>
                      <w:marBottom w:val="30"/>
                      <w:divBdr>
                        <w:top w:val="none" w:sz="0" w:space="0" w:color="auto"/>
                        <w:left w:val="none" w:sz="0" w:space="0" w:color="auto"/>
                        <w:bottom w:val="none" w:sz="0" w:space="0" w:color="auto"/>
                        <w:right w:val="none" w:sz="0" w:space="0" w:color="auto"/>
                      </w:divBdr>
                    </w:div>
                    <w:div w:id="1027871289">
                      <w:marLeft w:val="0"/>
                      <w:marRight w:val="0"/>
                      <w:marTop w:val="0"/>
                      <w:marBottom w:val="0"/>
                      <w:divBdr>
                        <w:top w:val="none" w:sz="0" w:space="0" w:color="auto"/>
                        <w:left w:val="none" w:sz="0" w:space="0" w:color="auto"/>
                        <w:bottom w:val="none" w:sz="0" w:space="0" w:color="auto"/>
                        <w:right w:val="none" w:sz="0" w:space="0" w:color="auto"/>
                      </w:divBdr>
                    </w:div>
                    <w:div w:id="557939538">
                      <w:marLeft w:val="0"/>
                      <w:marRight w:val="0"/>
                      <w:marTop w:val="75"/>
                      <w:marBottom w:val="30"/>
                      <w:divBdr>
                        <w:top w:val="none" w:sz="0" w:space="0" w:color="auto"/>
                        <w:left w:val="none" w:sz="0" w:space="0" w:color="auto"/>
                        <w:bottom w:val="none" w:sz="0" w:space="0" w:color="auto"/>
                        <w:right w:val="none" w:sz="0" w:space="0" w:color="auto"/>
                      </w:divBdr>
                    </w:div>
                    <w:div w:id="519009321">
                      <w:marLeft w:val="0"/>
                      <w:marRight w:val="0"/>
                      <w:marTop w:val="0"/>
                      <w:marBottom w:val="0"/>
                      <w:divBdr>
                        <w:top w:val="none" w:sz="0" w:space="0" w:color="auto"/>
                        <w:left w:val="none" w:sz="0" w:space="0" w:color="auto"/>
                        <w:bottom w:val="none" w:sz="0" w:space="0" w:color="auto"/>
                        <w:right w:val="none" w:sz="0" w:space="0" w:color="auto"/>
                      </w:divBdr>
                    </w:div>
                    <w:div w:id="8066054">
                      <w:marLeft w:val="0"/>
                      <w:marRight w:val="0"/>
                      <w:marTop w:val="75"/>
                      <w:marBottom w:val="30"/>
                      <w:divBdr>
                        <w:top w:val="none" w:sz="0" w:space="0" w:color="auto"/>
                        <w:left w:val="none" w:sz="0" w:space="0" w:color="auto"/>
                        <w:bottom w:val="none" w:sz="0" w:space="0" w:color="auto"/>
                        <w:right w:val="none" w:sz="0" w:space="0" w:color="auto"/>
                      </w:divBdr>
                    </w:div>
                    <w:div w:id="762339253">
                      <w:marLeft w:val="0"/>
                      <w:marRight w:val="0"/>
                      <w:marTop w:val="0"/>
                      <w:marBottom w:val="0"/>
                      <w:divBdr>
                        <w:top w:val="none" w:sz="0" w:space="0" w:color="auto"/>
                        <w:left w:val="none" w:sz="0" w:space="0" w:color="auto"/>
                        <w:bottom w:val="none" w:sz="0" w:space="0" w:color="auto"/>
                        <w:right w:val="none" w:sz="0" w:space="0" w:color="auto"/>
                      </w:divBdr>
                    </w:div>
                    <w:div w:id="1195844188">
                      <w:marLeft w:val="0"/>
                      <w:marRight w:val="0"/>
                      <w:marTop w:val="75"/>
                      <w:marBottom w:val="30"/>
                      <w:divBdr>
                        <w:top w:val="none" w:sz="0" w:space="0" w:color="auto"/>
                        <w:left w:val="none" w:sz="0" w:space="0" w:color="auto"/>
                        <w:bottom w:val="none" w:sz="0" w:space="0" w:color="auto"/>
                        <w:right w:val="none" w:sz="0" w:space="0" w:color="auto"/>
                      </w:divBdr>
                    </w:div>
                    <w:div w:id="989286255">
                      <w:marLeft w:val="0"/>
                      <w:marRight w:val="0"/>
                      <w:marTop w:val="0"/>
                      <w:marBottom w:val="0"/>
                      <w:divBdr>
                        <w:top w:val="none" w:sz="0" w:space="0" w:color="auto"/>
                        <w:left w:val="none" w:sz="0" w:space="0" w:color="auto"/>
                        <w:bottom w:val="none" w:sz="0" w:space="0" w:color="auto"/>
                        <w:right w:val="none" w:sz="0" w:space="0" w:color="auto"/>
                      </w:divBdr>
                    </w:div>
                    <w:div w:id="1677806456">
                      <w:marLeft w:val="0"/>
                      <w:marRight w:val="0"/>
                      <w:marTop w:val="75"/>
                      <w:marBottom w:val="30"/>
                      <w:divBdr>
                        <w:top w:val="none" w:sz="0" w:space="0" w:color="auto"/>
                        <w:left w:val="none" w:sz="0" w:space="0" w:color="auto"/>
                        <w:bottom w:val="none" w:sz="0" w:space="0" w:color="auto"/>
                        <w:right w:val="none" w:sz="0" w:space="0" w:color="auto"/>
                      </w:divBdr>
                    </w:div>
                    <w:div w:id="1216813836">
                      <w:marLeft w:val="0"/>
                      <w:marRight w:val="0"/>
                      <w:marTop w:val="0"/>
                      <w:marBottom w:val="0"/>
                      <w:divBdr>
                        <w:top w:val="none" w:sz="0" w:space="0" w:color="auto"/>
                        <w:left w:val="none" w:sz="0" w:space="0" w:color="auto"/>
                        <w:bottom w:val="none" w:sz="0" w:space="0" w:color="auto"/>
                        <w:right w:val="none" w:sz="0" w:space="0" w:color="auto"/>
                      </w:divBdr>
                    </w:div>
                    <w:div w:id="1043168899">
                      <w:marLeft w:val="0"/>
                      <w:marRight w:val="0"/>
                      <w:marTop w:val="75"/>
                      <w:marBottom w:val="30"/>
                      <w:divBdr>
                        <w:top w:val="none" w:sz="0" w:space="0" w:color="auto"/>
                        <w:left w:val="none" w:sz="0" w:space="0" w:color="auto"/>
                        <w:bottom w:val="none" w:sz="0" w:space="0" w:color="auto"/>
                        <w:right w:val="none" w:sz="0" w:space="0" w:color="auto"/>
                      </w:divBdr>
                    </w:div>
                    <w:div w:id="484735905">
                      <w:marLeft w:val="0"/>
                      <w:marRight w:val="0"/>
                      <w:marTop w:val="0"/>
                      <w:marBottom w:val="0"/>
                      <w:divBdr>
                        <w:top w:val="none" w:sz="0" w:space="0" w:color="auto"/>
                        <w:left w:val="none" w:sz="0" w:space="0" w:color="auto"/>
                        <w:bottom w:val="none" w:sz="0" w:space="0" w:color="auto"/>
                        <w:right w:val="none" w:sz="0" w:space="0" w:color="auto"/>
                      </w:divBdr>
                    </w:div>
                    <w:div w:id="1778332226">
                      <w:marLeft w:val="0"/>
                      <w:marRight w:val="0"/>
                      <w:marTop w:val="75"/>
                      <w:marBottom w:val="30"/>
                      <w:divBdr>
                        <w:top w:val="none" w:sz="0" w:space="0" w:color="auto"/>
                        <w:left w:val="none" w:sz="0" w:space="0" w:color="auto"/>
                        <w:bottom w:val="none" w:sz="0" w:space="0" w:color="auto"/>
                        <w:right w:val="none" w:sz="0" w:space="0" w:color="auto"/>
                      </w:divBdr>
                    </w:div>
                    <w:div w:id="348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6462">
              <w:marLeft w:val="0"/>
              <w:marRight w:val="0"/>
              <w:marTop w:val="0"/>
              <w:marBottom w:val="0"/>
              <w:divBdr>
                <w:top w:val="none" w:sz="0" w:space="0" w:color="auto"/>
                <w:left w:val="none" w:sz="0" w:space="0" w:color="auto"/>
                <w:bottom w:val="none" w:sz="0" w:space="0" w:color="auto"/>
                <w:right w:val="none" w:sz="0" w:space="0" w:color="auto"/>
              </w:divBdr>
              <w:divsChild>
                <w:div w:id="80971494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81563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14</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7</cp:revision>
  <cp:lastPrinted>2016-03-15T06:28:00Z</cp:lastPrinted>
  <dcterms:created xsi:type="dcterms:W3CDTF">2016-03-14T03:51:00Z</dcterms:created>
  <dcterms:modified xsi:type="dcterms:W3CDTF">2016-03-15T07:06:00Z</dcterms:modified>
</cp:coreProperties>
</file>